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191" w:type="dxa"/>
        <w:jc w:val="center"/>
        <w:tblLook w:val="04A0" w:firstRow="1" w:lastRow="0" w:firstColumn="1" w:lastColumn="0" w:noHBand="0" w:noVBand="1"/>
      </w:tblPr>
      <w:tblGrid>
        <w:gridCol w:w="2308"/>
        <w:gridCol w:w="1942"/>
        <w:gridCol w:w="1879"/>
        <w:gridCol w:w="62"/>
      </w:tblGrid>
      <w:tr w:rsidR="009E1DC9" w:rsidRPr="006B350A" w:rsidTr="009E1DC9">
        <w:trPr>
          <w:gridAfter w:val="1"/>
          <w:wAfter w:w="62" w:type="dxa"/>
          <w:jc w:val="center"/>
        </w:trPr>
        <w:tc>
          <w:tcPr>
            <w:tcW w:w="6129" w:type="dxa"/>
            <w:gridSpan w:val="3"/>
            <w:tcBorders>
              <w:top w:val="single" w:sz="8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363FE7" w:rsidRDefault="009E1DC9" w:rsidP="002F6762">
            <w:pPr>
              <w:pStyle w:val="RDPTableHead"/>
            </w:pPr>
            <w:bookmarkStart w:id="0" w:name="_Ref111563062"/>
            <w:r w:rsidRPr="00363FE7">
              <w:t>Table</w:t>
            </w:r>
            <w:bookmarkEnd w:id="0"/>
            <w:r>
              <w:t xml:space="preserve"> S1: </w:t>
            </w:r>
            <w:r>
              <w:t>Regression by Intangible intensity</w:t>
            </w:r>
          </w:p>
          <w:p w:rsidR="009E1DC9" w:rsidRPr="006B350A" w:rsidRDefault="009E1DC9" w:rsidP="009E1DC9">
            <w:pPr>
              <w:pStyle w:val="RDPTableSubhead"/>
            </w:pPr>
            <w:r>
              <w:t>Growth in non-current assets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9E1DC9" w:rsidRDefault="009E1DC9" w:rsidP="009E1DC9">
            <w:pPr>
              <w:pStyle w:val="RDPTablebody"/>
            </w:pPr>
            <w:r>
              <w:t>Growth in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Default="009E1DC9" w:rsidP="009E1DC9">
            <w:pPr>
              <w:pStyle w:val="RDPTablebody"/>
            </w:pPr>
            <w:r>
              <w:t>Other digital intensities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 w:rsidRPr="008F10E4">
              <w:t xml:space="preserve">Other </w:t>
            </w:r>
            <w:r>
              <w:t>digital</w:t>
            </w:r>
            <w:r w:rsidRPr="008F10E4">
              <w:t xml:space="preserve"> intensities</w:t>
            </w:r>
            <w:r>
              <w:t xml:space="preserve"> – no primary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Borders>
              <w:top w:val="single" w:sz="4" w:space="0" w:color="auto"/>
            </w:tcBorders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Productivity</w:t>
            </w:r>
          </w:p>
        </w:tc>
        <w:tc>
          <w:tcPr>
            <w:tcW w:w="1942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0.047***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>
              <w:t>0.0</w:t>
            </w:r>
            <w:r>
              <w:t>34</w:t>
            </w:r>
            <w:r w:rsidRPr="008F10E4">
              <w:t>***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(</w:t>
            </w:r>
            <w:proofErr w:type="spellStart"/>
            <w:r w:rsidRPr="00135A75">
              <w:t>s.e.</w:t>
            </w:r>
            <w:proofErr w:type="spellEnd"/>
            <w:r w:rsidRPr="00135A75">
              <w:t>)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(0.010)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>
              <w:t>(0.00</w:t>
            </w:r>
            <w:r>
              <w:t>8</w:t>
            </w:r>
            <w:r w:rsidRPr="008F10E4">
              <w:t>)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GFC*Productivity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-0.007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>
              <w:t>-0.008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(0.009)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>
              <w:t>(0.008</w:t>
            </w:r>
            <w:r w:rsidRPr="008F10E4">
              <w:t>)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Post-GFC*Productivity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-0.029***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>
              <w:t>-0.025</w:t>
            </w:r>
            <w:r w:rsidRPr="008F10E4">
              <w:t>**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Borders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(0.009)</w:t>
            </w:r>
          </w:p>
        </w:tc>
        <w:tc>
          <w:tcPr>
            <w:tcW w:w="1941" w:type="dxa"/>
            <w:gridSpan w:val="2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>
              <w:t>(0.008</w:t>
            </w:r>
            <w:r w:rsidRPr="008F10E4">
              <w:t>)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  <w:rPr>
                <w:b/>
              </w:rPr>
            </w:pPr>
            <w:r w:rsidRPr="00135A75">
              <w:rPr>
                <w:b/>
              </w:rPr>
              <w:t>Controls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Industry*year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Y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 w:rsidRPr="008F10E4">
              <w:t>Y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State*year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Y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 w:rsidRPr="008F10E4">
              <w:t>Y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 xml:space="preserve">State </w:t>
            </w:r>
            <w:proofErr w:type="spellStart"/>
            <w:r w:rsidRPr="00135A75">
              <w:t>Unemp</w:t>
            </w:r>
            <w:proofErr w:type="spellEnd"/>
            <w:r w:rsidRPr="00135A75">
              <w:t>*productivity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Y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 w:rsidRPr="008F10E4">
              <w:t>Y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Size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Y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 w:rsidRPr="008F10E4">
              <w:t>Y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Age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Y</w:t>
            </w:r>
          </w:p>
        </w:tc>
        <w:tc>
          <w:tcPr>
            <w:tcW w:w="1941" w:type="dxa"/>
            <w:gridSpan w:val="2"/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 w:rsidRPr="008F10E4">
              <w:t>Y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Borders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</w:pPr>
            <w:r w:rsidRPr="00135A75">
              <w:t>Sales Growth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Y</w:t>
            </w:r>
          </w:p>
        </w:tc>
        <w:tc>
          <w:tcPr>
            <w:tcW w:w="1941" w:type="dxa"/>
            <w:gridSpan w:val="2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 w:rsidRPr="008F10E4">
              <w:t>Y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Borders>
              <w:top w:val="single" w:sz="4" w:space="0" w:color="auto"/>
            </w:tcBorders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  <w:rPr>
                <w:b/>
              </w:rPr>
            </w:pPr>
            <w:r w:rsidRPr="00135A75">
              <w:rPr>
                <w:b/>
              </w:rPr>
              <w:t>Observations</w:t>
            </w:r>
          </w:p>
        </w:tc>
        <w:tc>
          <w:tcPr>
            <w:tcW w:w="1942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 w:rsidRPr="00135A75">
              <w:t>1,631,670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>
              <w:t>1,</w:t>
            </w:r>
            <w:r>
              <w:t>555,025</w:t>
            </w:r>
          </w:p>
        </w:tc>
      </w:tr>
      <w:tr w:rsidR="009E1DC9" w:rsidTr="009E1DC9">
        <w:trPr>
          <w:jc w:val="center"/>
        </w:trPr>
        <w:tc>
          <w:tcPr>
            <w:tcW w:w="2308" w:type="dxa"/>
            <w:tcBorders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  <w:jc w:val="left"/>
              <w:rPr>
                <w:b/>
              </w:rPr>
            </w:pPr>
            <w:proofErr w:type="spellStart"/>
            <w:r w:rsidRPr="00135A75">
              <w:rPr>
                <w:b/>
              </w:rPr>
              <w:t>Adj</w:t>
            </w:r>
            <w:proofErr w:type="spellEnd"/>
            <w:r w:rsidRPr="00135A75">
              <w:rPr>
                <w:b/>
              </w:rPr>
              <w:t>-R-squared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135A75" w:rsidRDefault="009E1DC9" w:rsidP="009E1DC9">
            <w:pPr>
              <w:pStyle w:val="RDPTablebody"/>
            </w:pPr>
            <w:r>
              <w:t>0.028</w:t>
            </w:r>
          </w:p>
        </w:tc>
        <w:tc>
          <w:tcPr>
            <w:tcW w:w="1941" w:type="dxa"/>
            <w:gridSpan w:val="2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E1DC9" w:rsidRPr="008F10E4" w:rsidRDefault="009E1DC9" w:rsidP="009E1DC9">
            <w:pPr>
              <w:pStyle w:val="RDPTablebody"/>
            </w:pPr>
            <w:r>
              <w:t>0.028</w:t>
            </w:r>
          </w:p>
        </w:tc>
      </w:tr>
      <w:tr w:rsidR="009E1DC9" w:rsidTr="009E1DC9">
        <w:trPr>
          <w:gridAfter w:val="1"/>
          <w:wAfter w:w="62" w:type="dxa"/>
          <w:jc w:val="center"/>
        </w:trPr>
        <w:tc>
          <w:tcPr>
            <w:tcW w:w="6129" w:type="dxa"/>
            <w:gridSpan w:val="3"/>
            <w:tcBorders>
              <w:top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9E1DC9" w:rsidRDefault="009E1DC9" w:rsidP="009E1DC9">
            <w:pPr>
              <w:pStyle w:val="RDPTableNotes"/>
            </w:pPr>
            <w:r w:rsidRPr="007C5312">
              <w:t>Note:</w:t>
            </w:r>
            <w:r w:rsidRPr="007C5312">
              <w:tab/>
              <w:t>(a) Errors clustered at an industry level. GFC period is 2008-201</w:t>
            </w:r>
            <w:r>
              <w:t>1</w:t>
            </w:r>
            <w:r w:rsidRPr="007C5312">
              <w:t>. Post GFC is 201</w:t>
            </w:r>
            <w:r>
              <w:t>2</w:t>
            </w:r>
            <w:r w:rsidRPr="007C5312">
              <w:t>-2017. Overall sample 2005-2017.</w:t>
            </w:r>
            <w:r>
              <w:t xml:space="preserve"> </w:t>
            </w:r>
            <w:r>
              <w:t>No primary excludes agriculture and mining.</w:t>
            </w:r>
          </w:p>
        </w:tc>
      </w:tr>
    </w:tbl>
    <w:p w:rsidR="004D71B6" w:rsidRDefault="002E7FEA"/>
    <w:p w:rsidR="007219B1" w:rsidRDefault="007219B1"/>
    <w:p w:rsidR="009E1DC9" w:rsidRDefault="009E1DC9"/>
    <w:tbl>
      <w:tblPr>
        <w:tblW w:w="8964" w:type="dxa"/>
        <w:tblInd w:w="108" w:type="dxa"/>
        <w:tblLook w:val="04A0" w:firstRow="1" w:lastRow="0" w:firstColumn="1" w:lastColumn="0" w:noHBand="0" w:noVBand="1"/>
      </w:tblPr>
      <w:tblGrid>
        <w:gridCol w:w="3153"/>
        <w:gridCol w:w="2551"/>
        <w:gridCol w:w="3260"/>
      </w:tblGrid>
      <w:tr w:rsidR="00BC3314" w:rsidRPr="006B350A" w:rsidTr="00BC3314">
        <w:tc>
          <w:tcPr>
            <w:tcW w:w="8964" w:type="dxa"/>
            <w:gridSpan w:val="3"/>
            <w:tcBorders>
              <w:top w:val="single" w:sz="8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Pr="00363FE7" w:rsidRDefault="00BC3314" w:rsidP="002F6762">
            <w:pPr>
              <w:pStyle w:val="RDPTableHead"/>
            </w:pPr>
            <w:bookmarkStart w:id="1" w:name="_Ref111565147"/>
            <w:r w:rsidRPr="00363FE7">
              <w:lastRenderedPageBreak/>
              <w:t>Table </w:t>
            </w:r>
            <w:bookmarkEnd w:id="1"/>
            <w:r>
              <w:rPr>
                <w:noProof/>
              </w:rPr>
              <w:t>S2</w:t>
            </w:r>
            <w:r w:rsidRPr="00363FE7">
              <w:t xml:space="preserve">: </w:t>
            </w:r>
            <w:r>
              <w:t xml:space="preserve">Capital Reallocation Regression by Gearing </w:t>
            </w:r>
          </w:p>
          <w:p w:rsidR="00BC3314" w:rsidRPr="006B350A" w:rsidRDefault="00BC3314" w:rsidP="002F6762">
            <w:pPr>
              <w:pStyle w:val="RDPTableSubhead"/>
            </w:pPr>
            <w:r>
              <w:t xml:space="preserve">Growth in non-current assets </w:t>
            </w:r>
          </w:p>
        </w:tc>
      </w:tr>
      <w:tr w:rsidR="00BC3314" w:rsidTr="00BC3314"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Split based on top quartile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2E7FEA">
            <w:pPr>
              <w:pStyle w:val="RDPTablebody"/>
            </w:pPr>
            <w:r>
              <w:t xml:space="preserve">Split based on top </w:t>
            </w:r>
            <w:r w:rsidR="002E7FEA">
              <w:t>decile</w:t>
            </w:r>
          </w:p>
        </w:tc>
      </w:tr>
      <w:tr w:rsidR="00BC3314" w:rsidTr="00BC3314">
        <w:tc>
          <w:tcPr>
            <w:tcW w:w="3153" w:type="dxa"/>
            <w:tcBorders>
              <w:top w:val="single" w:sz="4" w:space="0" w:color="auto"/>
            </w:tcBorders>
            <w:tcMar>
              <w:left w:w="0" w:type="dxa"/>
              <w:right w:w="108" w:type="dxa"/>
            </w:tcMar>
          </w:tcPr>
          <w:p w:rsidR="00BC3314" w:rsidRDefault="00BC3314" w:rsidP="002F6762">
            <w:pPr>
              <w:pStyle w:val="RDPTablebody"/>
              <w:jc w:val="left"/>
            </w:pPr>
            <w:r>
              <w:t>Productivity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Pr="00114FE7" w:rsidRDefault="00BC3314" w:rsidP="002F6762">
            <w:pPr>
              <w:pStyle w:val="RDPTablebody"/>
            </w:pPr>
            <w:r>
              <w:t>0.0</w:t>
            </w:r>
            <w:r>
              <w:t>29</w:t>
            </w:r>
            <w:r>
              <w:t>***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Pr="00114FE7" w:rsidRDefault="00BC3314" w:rsidP="00BC3314">
            <w:pPr>
              <w:pStyle w:val="RDPTablebody"/>
            </w:pPr>
            <w:r>
              <w:t>0.03</w:t>
            </w:r>
            <w:r>
              <w:t>4</w:t>
            </w:r>
            <w:r>
              <w:t>***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2F6762">
            <w:pPr>
              <w:pStyle w:val="RDPTablebody"/>
              <w:jc w:val="left"/>
            </w:pPr>
            <w:r>
              <w:t>(</w:t>
            </w:r>
            <w:proofErr w:type="spellStart"/>
            <w:r>
              <w:t>s.e.</w:t>
            </w:r>
            <w:proofErr w:type="spellEnd"/>
            <w:r>
              <w:t>)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2F6762">
            <w:pPr>
              <w:pStyle w:val="RDPTablebody"/>
            </w:pPr>
            <w:r>
              <w:t>(0.007</w:t>
            </w:r>
            <w:r>
              <w:t>)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2F6762">
            <w:pPr>
              <w:pStyle w:val="RDPTablebody"/>
            </w:pPr>
            <w:r>
              <w:t>(0.007</w:t>
            </w:r>
            <w:r>
              <w:t>)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Productivity</w:t>
            </w:r>
            <w:r>
              <w:t xml:space="preserve"> – high gear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0.008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-0.024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(</w:t>
            </w:r>
            <w:proofErr w:type="spellStart"/>
            <w:r>
              <w:t>s.e.</w:t>
            </w:r>
            <w:proofErr w:type="spellEnd"/>
            <w:r>
              <w:t>)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(0.016)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(0.028)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Post-GFC*Productivity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-0.025***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bookmarkStart w:id="2" w:name="_GoBack"/>
            <w:bookmarkEnd w:id="2"/>
            <w:r>
              <w:t>-0.028***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(</w:t>
            </w:r>
            <w:proofErr w:type="spellStart"/>
            <w:r>
              <w:t>s.e.</w:t>
            </w:r>
            <w:proofErr w:type="spellEnd"/>
            <w:r>
              <w:t>)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(0.008)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(0.008)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Post-GFC*Productivity</w:t>
            </w:r>
            <w:r>
              <w:t xml:space="preserve"> – high gear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0.011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0.057*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(</w:t>
            </w:r>
            <w:proofErr w:type="spellStart"/>
            <w:r>
              <w:t>s.e.</w:t>
            </w:r>
            <w:proofErr w:type="spellEnd"/>
            <w:r>
              <w:t>)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(0.018</w:t>
            </w:r>
            <w:r>
              <w:t>)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(0.0</w:t>
            </w:r>
            <w:r>
              <w:t>31</w:t>
            </w:r>
            <w:r>
              <w:t>)</w:t>
            </w:r>
          </w:p>
        </w:tc>
      </w:tr>
      <w:tr w:rsidR="00BC3314" w:rsidTr="00BC3314">
        <w:tc>
          <w:tcPr>
            <w:tcW w:w="3153" w:type="dxa"/>
            <w:tcBorders>
              <w:top w:val="single" w:sz="4" w:space="0" w:color="auto"/>
            </w:tcBorders>
            <w:tcMar>
              <w:left w:w="0" w:type="dxa"/>
              <w:right w:w="108" w:type="dxa"/>
            </w:tcMar>
          </w:tcPr>
          <w:p w:rsidR="00BC3314" w:rsidRPr="000E3623" w:rsidRDefault="00BC3314" w:rsidP="00BC3314">
            <w:pPr>
              <w:pStyle w:val="RDPTablebody"/>
              <w:jc w:val="left"/>
              <w:rPr>
                <w:b/>
              </w:rPr>
            </w:pPr>
            <w:r w:rsidRPr="000E3623">
              <w:rPr>
                <w:b/>
              </w:rPr>
              <w:t>Controls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Industry*year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State*year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 xml:space="preserve">State </w:t>
            </w:r>
            <w:proofErr w:type="spellStart"/>
            <w:r>
              <w:t>Unemp</w:t>
            </w:r>
            <w:proofErr w:type="spellEnd"/>
            <w:r>
              <w:t>*productivity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Age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</w:tr>
      <w:tr w:rsidR="00BC3314" w:rsidTr="00BC3314">
        <w:tc>
          <w:tcPr>
            <w:tcW w:w="3153" w:type="dxa"/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Size</w:t>
            </w:r>
          </w:p>
        </w:tc>
        <w:tc>
          <w:tcPr>
            <w:tcW w:w="2551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  <w:tc>
          <w:tcPr>
            <w:tcW w:w="3260" w:type="dxa"/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</w:tr>
      <w:tr w:rsidR="00BC3314" w:rsidTr="00BC3314">
        <w:tc>
          <w:tcPr>
            <w:tcW w:w="3153" w:type="dxa"/>
            <w:tcBorders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BC3314" w:rsidRDefault="00BC3314" w:rsidP="00BC3314">
            <w:pPr>
              <w:pStyle w:val="RDPTablebody"/>
              <w:jc w:val="left"/>
            </w:pPr>
            <w:r>
              <w:t>Sales Growth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Y</w:t>
            </w:r>
          </w:p>
        </w:tc>
      </w:tr>
      <w:tr w:rsidR="00BC3314" w:rsidTr="00BC3314">
        <w:tc>
          <w:tcPr>
            <w:tcW w:w="3153" w:type="dxa"/>
            <w:tcBorders>
              <w:top w:val="single" w:sz="4" w:space="0" w:color="auto"/>
            </w:tcBorders>
            <w:tcMar>
              <w:left w:w="0" w:type="dxa"/>
              <w:right w:w="108" w:type="dxa"/>
            </w:tcMar>
          </w:tcPr>
          <w:p w:rsidR="00BC3314" w:rsidRPr="007E7F38" w:rsidRDefault="00BC3314" w:rsidP="00BC3314">
            <w:pPr>
              <w:pStyle w:val="RDPTablebody"/>
              <w:jc w:val="left"/>
              <w:rPr>
                <w:b/>
              </w:rPr>
            </w:pPr>
            <w:r>
              <w:rPr>
                <w:b/>
              </w:rPr>
              <w:t>Observations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2,049,267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2,049,267</w:t>
            </w:r>
          </w:p>
        </w:tc>
      </w:tr>
      <w:tr w:rsidR="00BC3314" w:rsidTr="00BC3314">
        <w:tc>
          <w:tcPr>
            <w:tcW w:w="3153" w:type="dxa"/>
            <w:tcBorders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BC3314" w:rsidRPr="007E7F38" w:rsidRDefault="00BC3314" w:rsidP="00BC3314">
            <w:pPr>
              <w:pStyle w:val="RDPTablebody"/>
              <w:jc w:val="left"/>
              <w:rPr>
                <w:b/>
              </w:rPr>
            </w:pPr>
            <w:proofErr w:type="spellStart"/>
            <w:r w:rsidRPr="007E7F38">
              <w:rPr>
                <w:b/>
              </w:rPr>
              <w:t>Adj</w:t>
            </w:r>
            <w:proofErr w:type="spellEnd"/>
            <w:r w:rsidRPr="007E7F38">
              <w:rPr>
                <w:b/>
              </w:rPr>
              <w:t>-R-squared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0.029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BC3314" w:rsidRDefault="00BC3314" w:rsidP="00BC3314">
            <w:pPr>
              <w:pStyle w:val="RDPTablebody"/>
            </w:pPr>
            <w:r>
              <w:t>0.029</w:t>
            </w:r>
          </w:p>
        </w:tc>
      </w:tr>
      <w:tr w:rsidR="00BC3314" w:rsidTr="00BC3314">
        <w:tc>
          <w:tcPr>
            <w:tcW w:w="8964" w:type="dxa"/>
            <w:gridSpan w:val="3"/>
            <w:tcBorders>
              <w:top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BC3314" w:rsidRDefault="00BC3314" w:rsidP="00BC3314">
            <w:pPr>
              <w:pStyle w:val="RDPTableNotes"/>
            </w:pPr>
            <w:r>
              <w:t>Note:</w:t>
            </w:r>
            <w:r>
              <w:tab/>
              <w:t xml:space="preserve">(a) Errors clustered at an </w:t>
            </w:r>
            <w:r w:rsidRPr="00686DEE">
              <w:t>industry</w:t>
            </w:r>
            <w:r>
              <w:t xml:space="preserve"> level. GFC period is 2008-2010. Post GFC is 2011-2017. Overall sample 2005-2017. Gearing is two periods lagged to ensure assets not used in both capital growth and gearing in same period. </w:t>
            </w:r>
            <w:proofErr w:type="spellStart"/>
            <w:r>
              <w:t>Cashflow</w:t>
            </w:r>
            <w:proofErr w:type="spellEnd"/>
            <w:r>
              <w:t xml:space="preserve"> is lagged cash flow. Results robust to contemporaneous.</w:t>
            </w:r>
          </w:p>
        </w:tc>
      </w:tr>
    </w:tbl>
    <w:p w:rsidR="009E1DC9" w:rsidRDefault="009E1DC9"/>
    <w:p w:rsidR="009E1DC9" w:rsidRDefault="009E1DC9"/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2308"/>
        <w:gridCol w:w="1942"/>
        <w:gridCol w:w="1941"/>
        <w:gridCol w:w="1941"/>
        <w:gridCol w:w="1541"/>
      </w:tblGrid>
      <w:tr w:rsidR="007219B1" w:rsidRPr="006B350A" w:rsidTr="002F6762">
        <w:tc>
          <w:tcPr>
            <w:tcW w:w="9673" w:type="dxa"/>
            <w:gridSpan w:val="5"/>
            <w:tcBorders>
              <w:top w:val="single" w:sz="8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Pr="00363FE7" w:rsidRDefault="007219B1" w:rsidP="002F6762">
            <w:pPr>
              <w:pStyle w:val="RDPTableHead"/>
            </w:pPr>
            <w:bookmarkStart w:id="3" w:name="_Ref111563044"/>
            <w:r w:rsidRPr="00363FE7">
              <w:lastRenderedPageBreak/>
              <w:t>Table </w:t>
            </w:r>
            <w:bookmarkEnd w:id="3"/>
            <w:r w:rsidR="009E1DC9">
              <w:rPr>
                <w:noProof/>
              </w:rPr>
              <w:t>S3</w:t>
            </w:r>
            <w:r w:rsidRPr="00363FE7">
              <w:t xml:space="preserve">: </w:t>
            </w:r>
            <w:r>
              <w:t>Capital Reallocation by Financial Dependence Regression</w:t>
            </w:r>
          </w:p>
          <w:p w:rsidR="007219B1" w:rsidRPr="006B350A" w:rsidRDefault="007219B1" w:rsidP="002F6762">
            <w:pPr>
              <w:pStyle w:val="RDPTableSubhead"/>
            </w:pPr>
            <w:r>
              <w:t>Growth in non-current assets, no large firms</w:t>
            </w:r>
          </w:p>
        </w:tc>
      </w:tr>
      <w:tr w:rsidR="007219B1" w:rsidTr="002F6762"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Most financially dependent quartile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Other financial dependence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 w:rsidRPr="00DC3E14">
              <w:t xml:space="preserve">Most </w:t>
            </w:r>
            <w:r>
              <w:t>equity dependent</w:t>
            </w:r>
            <w:r w:rsidRPr="00DC3E14">
              <w:t xml:space="preserve"> quartile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Other equity dependence</w:t>
            </w:r>
          </w:p>
        </w:tc>
      </w:tr>
      <w:tr w:rsidR="007219B1" w:rsidTr="002F6762">
        <w:tc>
          <w:tcPr>
            <w:tcW w:w="2308" w:type="dxa"/>
            <w:tcBorders>
              <w:top w:val="single" w:sz="4" w:space="0" w:color="auto"/>
            </w:tcBorders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Productivity</w:t>
            </w:r>
          </w:p>
        </w:tc>
        <w:tc>
          <w:tcPr>
            <w:tcW w:w="1942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7219B1">
            <w:pPr>
              <w:pStyle w:val="RDPTablebody"/>
            </w:pPr>
            <w:r>
              <w:t>0.0</w:t>
            </w:r>
            <w:r>
              <w:t>48</w:t>
            </w:r>
            <w:r>
              <w:t>***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Pr="00114FE7" w:rsidRDefault="007219B1" w:rsidP="007219B1">
            <w:pPr>
              <w:pStyle w:val="RDPTablebody"/>
            </w:pPr>
            <w:r>
              <w:t>0</w:t>
            </w:r>
            <w:r>
              <w:t>.025</w:t>
            </w:r>
            <w:r>
              <w:t>***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0</w:t>
            </w:r>
            <w:r w:rsidR="009E1DC9">
              <w:t>.010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tcMar>
              <w:left w:w="108" w:type="dxa"/>
              <w:right w:w="0" w:type="dxa"/>
            </w:tcMar>
          </w:tcPr>
          <w:p w:rsidR="007219B1" w:rsidRDefault="009E1DC9" w:rsidP="009E1DC9">
            <w:pPr>
              <w:pStyle w:val="RDPTablebody"/>
            </w:pPr>
            <w:r>
              <w:t>0.049</w:t>
            </w:r>
            <w:r w:rsidR="007219B1">
              <w:t>***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(</w:t>
            </w:r>
            <w:proofErr w:type="spellStart"/>
            <w:r>
              <w:t>s.e.</w:t>
            </w:r>
            <w:proofErr w:type="spellEnd"/>
            <w:r>
              <w:t>)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(0.016)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(0.009)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9E1DC9">
            <w:pPr>
              <w:pStyle w:val="RDPTablebody"/>
            </w:pPr>
            <w:r>
              <w:t>(0.01</w:t>
            </w:r>
            <w:r w:rsidR="009E1DC9">
              <w:t>1</w:t>
            </w:r>
            <w:r>
              <w:t>)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(0.010)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GFC*Productivity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-0.013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-0.006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0.011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-</w:t>
            </w:r>
            <w:r w:rsidR="009E1DC9">
              <w:t>0.007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(</w:t>
            </w:r>
            <w:proofErr w:type="spellStart"/>
            <w:r>
              <w:t>s.e.</w:t>
            </w:r>
            <w:proofErr w:type="spellEnd"/>
            <w:r>
              <w:t>)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(0.017)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(0.009)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(0.013)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9E1DC9" w:rsidP="002F6762">
            <w:pPr>
              <w:pStyle w:val="RDPTablebody"/>
            </w:pPr>
            <w:r>
              <w:t>(0.011</w:t>
            </w:r>
            <w:r w:rsidR="007219B1">
              <w:t>)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Post-GFC*Productivity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-0.036</w:t>
            </w:r>
            <w:r>
              <w:t>***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-0.010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9E1DC9" w:rsidP="002F6762">
            <w:pPr>
              <w:pStyle w:val="RDPTablebody"/>
            </w:pPr>
            <w:r>
              <w:t>-0.014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9E1DC9" w:rsidP="002F6762">
            <w:pPr>
              <w:pStyle w:val="RDPTablebody"/>
            </w:pPr>
            <w:r>
              <w:t>-0.021</w:t>
            </w:r>
            <w:r w:rsidR="007219B1">
              <w:t>**</w:t>
            </w:r>
          </w:p>
        </w:tc>
      </w:tr>
      <w:tr w:rsidR="007219B1" w:rsidTr="002F6762">
        <w:tc>
          <w:tcPr>
            <w:tcW w:w="2308" w:type="dxa"/>
            <w:tcBorders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(</w:t>
            </w:r>
            <w:proofErr w:type="spellStart"/>
            <w:r>
              <w:t>s.e.</w:t>
            </w:r>
            <w:proofErr w:type="spellEnd"/>
            <w:r>
              <w:t>)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(0.01</w:t>
            </w:r>
            <w:r>
              <w:t>3</w:t>
            </w:r>
            <w:r>
              <w:t>)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(0.009)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(0.012)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(0.011)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Pr="000E3623" w:rsidRDefault="007219B1" w:rsidP="002F6762">
            <w:pPr>
              <w:pStyle w:val="RDPTablebody"/>
              <w:jc w:val="left"/>
              <w:rPr>
                <w:b/>
              </w:rPr>
            </w:pPr>
            <w:r w:rsidRPr="000E3623">
              <w:rPr>
                <w:b/>
              </w:rPr>
              <w:t>Controls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Industry*year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State*year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 xml:space="preserve">State </w:t>
            </w:r>
            <w:proofErr w:type="spellStart"/>
            <w:r>
              <w:t>Unemp</w:t>
            </w:r>
            <w:proofErr w:type="spellEnd"/>
            <w:r>
              <w:t>*productivity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Size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</w:tr>
      <w:tr w:rsidR="007219B1" w:rsidTr="002F6762">
        <w:tc>
          <w:tcPr>
            <w:tcW w:w="2308" w:type="dxa"/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Age</w:t>
            </w:r>
          </w:p>
        </w:tc>
        <w:tc>
          <w:tcPr>
            <w:tcW w:w="1942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541" w:type="dxa"/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</w:tr>
      <w:tr w:rsidR="007219B1" w:rsidTr="002F6762">
        <w:tc>
          <w:tcPr>
            <w:tcW w:w="2308" w:type="dxa"/>
            <w:tcBorders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7219B1" w:rsidRDefault="007219B1" w:rsidP="002F6762">
            <w:pPr>
              <w:pStyle w:val="RDPTablebody"/>
              <w:jc w:val="left"/>
            </w:pPr>
            <w:r>
              <w:t>Sales Growth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tcMar>
              <w:left w:w="108" w:type="dxa"/>
              <w:right w:w="0" w:type="dxa"/>
            </w:tcMar>
          </w:tcPr>
          <w:p w:rsidR="007219B1" w:rsidRDefault="007219B1" w:rsidP="002F6762">
            <w:pPr>
              <w:pStyle w:val="RDPTablebody"/>
            </w:pPr>
            <w:r>
              <w:t>Y</w:t>
            </w:r>
          </w:p>
        </w:tc>
      </w:tr>
      <w:tr w:rsidR="007219B1" w:rsidTr="002F6762">
        <w:tc>
          <w:tcPr>
            <w:tcW w:w="2308" w:type="dxa"/>
            <w:tcBorders>
              <w:top w:val="single" w:sz="4" w:space="0" w:color="auto"/>
            </w:tcBorders>
            <w:tcMar>
              <w:left w:w="0" w:type="dxa"/>
              <w:right w:w="108" w:type="dxa"/>
            </w:tcMar>
          </w:tcPr>
          <w:p w:rsidR="007219B1" w:rsidRPr="007E7F38" w:rsidRDefault="007219B1" w:rsidP="002F6762">
            <w:pPr>
              <w:pStyle w:val="RDPTablebody"/>
              <w:jc w:val="left"/>
              <w:rPr>
                <w:b/>
              </w:rPr>
            </w:pPr>
            <w:r>
              <w:rPr>
                <w:b/>
              </w:rPr>
              <w:t>Observations</w:t>
            </w:r>
          </w:p>
        </w:tc>
        <w:tc>
          <w:tcPr>
            <w:tcW w:w="1942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7219B1">
            <w:pPr>
              <w:pStyle w:val="RDPTablebody"/>
            </w:pPr>
            <w:r>
              <w:t>55</w:t>
            </w:r>
            <w:r>
              <w:t>5</w:t>
            </w:r>
            <w:r>
              <w:t>,</w:t>
            </w:r>
            <w:r>
              <w:t>933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7219B1">
            <w:pPr>
              <w:pStyle w:val="RDPTablebody"/>
            </w:pPr>
            <w:r>
              <w:t>1,3</w:t>
            </w:r>
            <w:r>
              <w:t>15</w:t>
            </w:r>
            <w:r>
              <w:t>,</w:t>
            </w:r>
            <w:r>
              <w:t>51</w:t>
            </w:r>
            <w:r>
              <w:t>4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9E1DC9" w:rsidP="002F6762">
            <w:pPr>
              <w:pStyle w:val="RDPTablebody"/>
            </w:pPr>
            <w:r>
              <w:t>575,520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tcMar>
              <w:left w:w="108" w:type="dxa"/>
              <w:right w:w="0" w:type="dxa"/>
            </w:tcMar>
          </w:tcPr>
          <w:p w:rsidR="007219B1" w:rsidRDefault="009E1DC9" w:rsidP="002F6762">
            <w:pPr>
              <w:pStyle w:val="RDPTablebody"/>
            </w:pPr>
            <w:r>
              <w:t>1,295,930</w:t>
            </w:r>
          </w:p>
        </w:tc>
      </w:tr>
      <w:tr w:rsidR="007219B1" w:rsidTr="002F6762">
        <w:tc>
          <w:tcPr>
            <w:tcW w:w="2308" w:type="dxa"/>
            <w:tcBorders>
              <w:bottom w:val="single" w:sz="4" w:space="0" w:color="auto"/>
            </w:tcBorders>
            <w:tcMar>
              <w:left w:w="0" w:type="dxa"/>
              <w:right w:w="108" w:type="dxa"/>
            </w:tcMar>
          </w:tcPr>
          <w:p w:rsidR="007219B1" w:rsidRPr="007E7F38" w:rsidRDefault="007219B1" w:rsidP="002F6762">
            <w:pPr>
              <w:pStyle w:val="RDPTablebody"/>
              <w:jc w:val="left"/>
              <w:rPr>
                <w:b/>
              </w:rPr>
            </w:pPr>
            <w:proofErr w:type="spellStart"/>
            <w:r w:rsidRPr="007E7F38">
              <w:rPr>
                <w:b/>
              </w:rPr>
              <w:t>Adj</w:t>
            </w:r>
            <w:proofErr w:type="spellEnd"/>
            <w:r w:rsidRPr="007E7F38">
              <w:rPr>
                <w:b/>
              </w:rPr>
              <w:t>-R-squared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0.032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7219B1" w:rsidP="002F6762">
            <w:pPr>
              <w:pStyle w:val="RDPTablebody"/>
            </w:pPr>
            <w:r>
              <w:t>0.031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7219B1" w:rsidRDefault="009E1DC9" w:rsidP="002F6762">
            <w:pPr>
              <w:pStyle w:val="RDPTablebody"/>
            </w:pPr>
            <w:r>
              <w:t>0.031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tcMar>
              <w:left w:w="108" w:type="dxa"/>
              <w:right w:w="0" w:type="dxa"/>
            </w:tcMar>
          </w:tcPr>
          <w:p w:rsidR="007219B1" w:rsidRDefault="009E1DC9" w:rsidP="002F6762">
            <w:pPr>
              <w:pStyle w:val="RDPTablebody"/>
            </w:pPr>
            <w:r>
              <w:t>0.030</w:t>
            </w:r>
          </w:p>
        </w:tc>
      </w:tr>
      <w:tr w:rsidR="007219B1" w:rsidTr="002F6762">
        <w:tc>
          <w:tcPr>
            <w:tcW w:w="9673" w:type="dxa"/>
            <w:gridSpan w:val="5"/>
            <w:tcBorders>
              <w:top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7219B1" w:rsidRDefault="007219B1" w:rsidP="002F6762">
            <w:pPr>
              <w:pStyle w:val="RDPTableNotes"/>
            </w:pPr>
            <w:r w:rsidRPr="007C5312">
              <w:t>Note:</w:t>
            </w:r>
            <w:r w:rsidRPr="007C5312">
              <w:tab/>
              <w:t>(a) Errors clustered at an industry level. GFC period is 2008-201</w:t>
            </w:r>
            <w:r>
              <w:t>1</w:t>
            </w:r>
            <w:r w:rsidRPr="007C5312">
              <w:t>. Post GFC is 201</w:t>
            </w:r>
            <w:r>
              <w:t>2</w:t>
            </w:r>
            <w:r w:rsidRPr="007C5312">
              <w:t>-2017. Overall sample 2005-2017.</w:t>
            </w:r>
            <w:r>
              <w:t xml:space="preserve"> </w:t>
            </w:r>
            <w:r>
              <w:t>Firms with over 500 FTE excluded.</w:t>
            </w:r>
          </w:p>
        </w:tc>
      </w:tr>
    </w:tbl>
    <w:p w:rsidR="007219B1" w:rsidRDefault="007219B1"/>
    <w:sectPr w:rsidR="007219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9B1"/>
    <w:rsid w:val="002E7FEA"/>
    <w:rsid w:val="007219B1"/>
    <w:rsid w:val="00935BEE"/>
    <w:rsid w:val="009E1DC9"/>
    <w:rsid w:val="00BC3314"/>
    <w:rsid w:val="00FD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16D3C-D16D-40F8-90DC-AD70C67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219B1"/>
    <w:pPr>
      <w:spacing w:after="20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DPTableHead">
    <w:name w:val="RDP Table Head"/>
    <w:next w:val="Normal"/>
    <w:uiPriority w:val="43"/>
    <w:qFormat/>
    <w:rsid w:val="007219B1"/>
    <w:pPr>
      <w:keepNext/>
      <w:keepLines/>
      <w:spacing w:before="40" w:after="40" w:line="240" w:lineRule="auto"/>
      <w:jc w:val="center"/>
    </w:pPr>
    <w:rPr>
      <w:rFonts w:ascii="Tahoma" w:eastAsia="Times New Roman" w:hAnsi="Tahoma" w:cs="Times New Roman"/>
      <w:b/>
      <w:szCs w:val="24"/>
    </w:rPr>
  </w:style>
  <w:style w:type="paragraph" w:customStyle="1" w:styleId="RDPTablebody">
    <w:name w:val="RDP Table body"/>
    <w:basedOn w:val="Normal"/>
    <w:uiPriority w:val="44"/>
    <w:qFormat/>
    <w:rsid w:val="007219B1"/>
    <w:pPr>
      <w:keepNext/>
      <w:keepLines/>
      <w:spacing w:before="40" w:after="40" w:line="240" w:lineRule="atLeast"/>
      <w:jc w:val="center"/>
    </w:pPr>
    <w:rPr>
      <w:rFonts w:ascii="Tahoma" w:hAnsi="Tahoma"/>
      <w:sz w:val="18"/>
      <w:lang w:val="en-AU"/>
    </w:rPr>
  </w:style>
  <w:style w:type="paragraph" w:customStyle="1" w:styleId="RDPTableNotes">
    <w:name w:val="RDP Table Notes"/>
    <w:basedOn w:val="RDPTablebody"/>
    <w:uiPriority w:val="54"/>
    <w:rsid w:val="007219B1"/>
    <w:pPr>
      <w:tabs>
        <w:tab w:val="left" w:pos="851"/>
      </w:tabs>
      <w:spacing w:before="0" w:after="0" w:line="240" w:lineRule="exact"/>
      <w:ind w:left="851" w:hanging="851"/>
      <w:contextualSpacing/>
      <w:jc w:val="both"/>
    </w:pPr>
    <w:rPr>
      <w:sz w:val="16"/>
    </w:rPr>
  </w:style>
  <w:style w:type="paragraph" w:customStyle="1" w:styleId="RDPTableSubhead">
    <w:name w:val="RDP Table Subhead"/>
    <w:next w:val="RDPTablebody"/>
    <w:uiPriority w:val="43"/>
    <w:rsid w:val="007219B1"/>
    <w:pPr>
      <w:keepLines/>
      <w:spacing w:after="40" w:line="240" w:lineRule="auto"/>
      <w:jc w:val="center"/>
    </w:pPr>
    <w:rPr>
      <w:rFonts w:ascii="Tahoma" w:eastAsia="Times New Roman" w:hAnsi="Tahom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338</Words>
  <Characters>2006</Characters>
  <Application>Microsoft Office Word</Application>
  <DocSecurity>0</DocSecurity>
  <Lines>208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Reserve Bank of Australia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HAMBUR, Jonathan</dc:creator>
  <cp:keywords/>
  <dc:description/>
  <cp:lastModifiedBy>HAMBUR, Jonathan</cp:lastModifiedBy>
  <dcterms:created xsi:type="dcterms:W3CDTF">2023-03-12T22:01:00Z</dcterms:created>
  <dcterms:modified xsi:type="dcterms:W3CDTF">2023-03-12T22:54:00Z</dcterms:modified>
</cp:coreProperties>
</file>